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7bc0"/>
          <w:sz w:val="40"/>
          <w:szCs w:val="40"/>
          <w:rtl w:val="0"/>
        </w:rPr>
        <w:t xml:space="preserve">X.</w:t>
      </w: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2.1 Garantia de Qualitat dels Programes. Marc VSMA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X.2.1.4 Procés d’Acreditació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l’Acreditació dels estudis.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Documents ANECA per a l’elaboració dels plans d’estudis </w:t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Llibres Blancs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Directrius  AQU Catalunya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 i Objectius de Qualitat (elaborat al procés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1.1. Definir Política i Objectius de Qualitat de la Formació)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 del procés: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 Constitueix el Comitè d'Avaluació Interna (CAI). Coordinar i donen suport al CAI en l’Elaboració del CAI.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l’informe d’acreditació.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Transversal de Gestió:  </w:t>
      </w:r>
      <w:r w:rsidDel="00000000" w:rsidR="00000000" w:rsidRPr="00000000">
        <w:rPr>
          <w:rFonts w:ascii="Arial" w:cs="Arial" w:eastAsia="Arial" w:hAnsi="Arial"/>
          <w:rtl w:val="0"/>
        </w:rPr>
        <w:t xml:space="preserve">Donar suport a la realització dels informes d’acreditació i a la visita externa.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L’equip directiu fa la constitució del Comitè d'Avaluació Interna (CAI). El CAI segons les informacions/inputs que venen del procés 6.1 elabora l'informe d'acreditació. El GPAQ revisa l'informe d'acreditació i el centre exposa públicament l'informe a la comunitat universitària (obligatori). L’ Òrgan responsable aprova l'informe d'acreditació i el GPAQ tramet l'informe d'acreditació a AQU Catalunya. AQU Catalunya avalua l'informe d'acreditació, l’Equip directiu prepara la reunió amb el Comite extern i publica l’informe d’acreditació al web i el centre implementa els requeriments obligatoris a través del processos clau 340.3.X.</w:t>
        <w:br w:type="textWrapping"/>
      </w:r>
    </w:p>
    <w:p w:rsidR="00000000" w:rsidDel="00000000" w:rsidP="00000000" w:rsidRDefault="00000000" w:rsidRPr="00000000">
      <w:pPr>
        <w:spacing w:after="0" w:before="6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L’equip directiu, revisen els resultats del procés,i si s’escau, modifica el procés. Aquesta  modificació quedarà recollida, en el SGIQ a través del procés 8.1 Desplegament, seguiment i revisió del SGIQ, i control de la documentació.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sobre la qualitat del programa formatiu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de pertinència de la informació  pertinència de la informació pública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sobre l’eficàcia del sistema de garantia interna de la qualitat de la titulació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sobre l’adequació del professorat al programa formatiu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sobre l’eficàcia dels sistemes de suport a l’aprenentatge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Indicadors sobre la qualitat dels resultats dels programes formatius </w:t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estudiantat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pdi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titulats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PAS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de la creació de nous estudis.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de verificació, de modificació i de seguiment de la titulació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Fitxes d'indicadors del centre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Memòria del centre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p w:rsidR="00000000" w:rsidDel="00000000" w:rsidP="00000000" w:rsidRDefault="00000000" w:rsidRPr="00000000">
      <w:pPr>
        <w:tabs>
          <w:tab w:val="left" w:pos="284"/>
        </w:tabs>
        <w:spacing w:line="24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914900" cy="7424738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424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X.2.1.4 Procés d’Acreditació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