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2DC0" w:rsidRDefault="00F32DC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32DC0" w:rsidRDefault="00F32DC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32DC0" w:rsidRDefault="00F32DC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32DC0" w:rsidRDefault="00F32DC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32DC0" w:rsidRDefault="00F32DC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32DC0" w:rsidRDefault="00F32DC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A1310" w:rsidRDefault="00FA131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32DC0" w:rsidRDefault="00F32DC0" w:rsidP="00F32DC0">
      <w:pPr>
        <w:widowControl/>
        <w:jc w:val="center"/>
        <w:rPr>
          <w:b/>
          <w:color w:val="4F81BD" w:themeColor="accent1"/>
          <w:sz w:val="56"/>
          <w:szCs w:val="56"/>
          <w:lang w:val="es-ES"/>
        </w:rPr>
      </w:pPr>
      <w:r w:rsidRPr="00F32DC0">
        <w:rPr>
          <w:b/>
          <w:color w:val="4F81BD" w:themeColor="accent1"/>
          <w:sz w:val="56"/>
          <w:szCs w:val="56"/>
          <w:lang w:val="es-ES"/>
        </w:rPr>
        <w:t>MATERIAL DE SUPORT A LA IMPLEMENTACIÓ DEL SGIQ</w:t>
      </w:r>
    </w:p>
    <w:p w:rsidR="00FA1310" w:rsidRPr="00FA1310" w:rsidRDefault="00FA1310" w:rsidP="00FA131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32DC0" w:rsidRDefault="00F32DC0" w:rsidP="00FA1310">
      <w:pPr>
        <w:widowControl/>
        <w:jc w:val="center"/>
        <w:rPr>
          <w:b/>
          <w:color w:val="4F81BD" w:themeColor="accent1"/>
          <w:sz w:val="32"/>
          <w:szCs w:val="32"/>
          <w:lang w:val="es-ES"/>
        </w:rPr>
      </w:pPr>
    </w:p>
    <w:p w:rsidR="00F32DC0" w:rsidRDefault="00F32DC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A1310" w:rsidRDefault="00FA131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A1310" w:rsidRDefault="00FA131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A1310" w:rsidRDefault="00FA131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A1310" w:rsidRDefault="00FA131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A1310" w:rsidRDefault="00FA131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A1310" w:rsidRDefault="00FA131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A1310" w:rsidRDefault="00FA131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A1310" w:rsidRDefault="00FA1310">
      <w:pPr>
        <w:widowControl/>
        <w:rPr>
          <w:b/>
          <w:color w:val="4F81BD" w:themeColor="accent1"/>
          <w:sz w:val="32"/>
          <w:szCs w:val="32"/>
          <w:lang w:val="es-ES"/>
        </w:rPr>
      </w:pPr>
    </w:p>
    <w:p w:rsidR="00FA1310" w:rsidRPr="00993891" w:rsidRDefault="00993891" w:rsidP="00FA1310">
      <w:pPr>
        <w:widowControl/>
        <w:jc w:val="right"/>
        <w:rPr>
          <w:b/>
          <w:color w:val="4F81BD" w:themeColor="accent1"/>
          <w:sz w:val="24"/>
          <w:szCs w:val="24"/>
        </w:rPr>
      </w:pPr>
      <w:r w:rsidRPr="00993891">
        <w:rPr>
          <w:b/>
          <w:color w:val="4F81BD" w:themeColor="accent1"/>
          <w:sz w:val="24"/>
          <w:szCs w:val="24"/>
        </w:rPr>
        <w:t>Gabinet de Planificació, Avaluació i Qualitat (GPAQ)</w:t>
      </w:r>
    </w:p>
    <w:p w:rsidR="00FA1310" w:rsidRPr="00993891" w:rsidRDefault="00FA1310" w:rsidP="00FA1310">
      <w:pPr>
        <w:widowControl/>
        <w:jc w:val="right"/>
        <w:rPr>
          <w:b/>
          <w:color w:val="4F81BD" w:themeColor="accent1"/>
          <w:sz w:val="22"/>
          <w:szCs w:val="22"/>
        </w:rPr>
      </w:pPr>
      <w:r w:rsidRPr="00993891">
        <w:rPr>
          <w:b/>
          <w:color w:val="4F81BD" w:themeColor="accent1"/>
          <w:sz w:val="22"/>
          <w:szCs w:val="22"/>
        </w:rPr>
        <w:t>Setembre 2012</w:t>
      </w:r>
    </w:p>
    <w:p w:rsidR="004946D5" w:rsidRDefault="004946D5">
      <w:pPr>
        <w:widowControl/>
        <w:rPr>
          <w:b/>
          <w:color w:val="4F81BD" w:themeColor="accent1"/>
          <w:sz w:val="32"/>
          <w:szCs w:val="32"/>
          <w:lang w:val="es-ES"/>
        </w:rPr>
        <w:sectPr w:rsidR="004946D5" w:rsidSect="004946D5">
          <w:footerReference w:type="default" r:id="rId8"/>
          <w:pgSz w:w="11906" w:h="16838"/>
          <w:pgMar w:top="1134" w:right="1077" w:bottom="1134" w:left="1077" w:header="709" w:footer="709" w:gutter="0"/>
          <w:pgBorders w:offsetFrom="page">
            <w:top w:val="single" w:sz="4" w:space="24" w:color="548DD4" w:themeColor="text2" w:themeTint="99"/>
            <w:left w:val="single" w:sz="4" w:space="24" w:color="548DD4" w:themeColor="text2" w:themeTint="99"/>
            <w:bottom w:val="single" w:sz="4" w:space="24" w:color="548DD4" w:themeColor="text2" w:themeTint="99"/>
            <w:right w:val="single" w:sz="4" w:space="24" w:color="548DD4" w:themeColor="text2" w:themeTint="99"/>
          </w:pgBorders>
          <w:cols w:space="708"/>
          <w:titlePg/>
          <w:docGrid w:linePitch="360"/>
        </w:sectPr>
      </w:pPr>
    </w:p>
    <w:p w:rsidR="004946D5" w:rsidRDefault="004946D5">
      <w:pPr>
        <w:widowControl/>
        <w:rPr>
          <w:b/>
          <w:color w:val="4F81BD" w:themeColor="accent1"/>
          <w:sz w:val="32"/>
          <w:szCs w:val="32"/>
          <w:lang w:val="es-ES"/>
        </w:rPr>
        <w:sectPr w:rsidR="004946D5" w:rsidSect="004946D5">
          <w:type w:val="continuous"/>
          <w:pgSz w:w="11906" w:h="16838"/>
          <w:pgMar w:top="1134" w:right="1077" w:bottom="1134" w:left="1077" w:header="709" w:footer="709" w:gutter="0"/>
          <w:cols w:space="708"/>
          <w:titlePg/>
          <w:docGrid w:linePitch="360"/>
        </w:sectPr>
      </w:pPr>
    </w:p>
    <w:p w:rsidR="0062466F" w:rsidRPr="00733965" w:rsidRDefault="00EB0754" w:rsidP="00D720D2">
      <w:pPr>
        <w:spacing w:after="0"/>
        <w:jc w:val="center"/>
        <w:rPr>
          <w:b/>
          <w:color w:val="4F81BD" w:themeColor="accent1"/>
          <w:sz w:val="32"/>
          <w:szCs w:val="32"/>
          <w:lang w:val="es-ES"/>
        </w:rPr>
      </w:pPr>
      <w:r>
        <w:rPr>
          <w:b/>
          <w:color w:val="4F81BD" w:themeColor="accent1"/>
          <w:sz w:val="32"/>
          <w:szCs w:val="32"/>
          <w:lang w:val="es-ES"/>
        </w:rPr>
        <w:lastRenderedPageBreak/>
        <w:t>13</w:t>
      </w:r>
      <w:r w:rsidR="00C65B1D" w:rsidRPr="00733965">
        <w:rPr>
          <w:b/>
          <w:color w:val="4F81BD" w:themeColor="accent1"/>
          <w:sz w:val="32"/>
          <w:szCs w:val="32"/>
          <w:lang w:val="es-ES"/>
        </w:rPr>
        <w:t xml:space="preserve"> ASPECTES CLAUS PER </w:t>
      </w:r>
      <w:r w:rsidR="00BA0039" w:rsidRPr="00733965">
        <w:rPr>
          <w:b/>
          <w:color w:val="4F81BD" w:themeColor="accent1"/>
          <w:sz w:val="32"/>
          <w:szCs w:val="32"/>
          <w:lang w:val="es-ES"/>
        </w:rPr>
        <w:t>A LA IMPLEMENTACIÓ DEL SGIQ</w:t>
      </w:r>
    </w:p>
    <w:p w:rsidR="005E75D4" w:rsidRPr="005E75D4" w:rsidRDefault="005E75D4" w:rsidP="00D720D2">
      <w:pPr>
        <w:spacing w:after="0"/>
        <w:jc w:val="center"/>
        <w:rPr>
          <w:b/>
          <w:color w:val="4F81BD" w:themeColor="accent1"/>
          <w:sz w:val="22"/>
          <w:szCs w:val="22"/>
          <w:lang w:val="es-ES"/>
        </w:rPr>
      </w:pPr>
    </w:p>
    <w:p w:rsidR="005E75D4" w:rsidRPr="00E43C51" w:rsidRDefault="005E75D4" w:rsidP="00733965">
      <w:pPr>
        <w:jc w:val="both"/>
        <w:rPr>
          <w:i/>
          <w:sz w:val="22"/>
          <w:szCs w:val="22"/>
        </w:rPr>
      </w:pPr>
      <w:r w:rsidRPr="00E43C51">
        <w:rPr>
          <w:i/>
          <w:sz w:val="22"/>
          <w:szCs w:val="22"/>
        </w:rPr>
        <w:t>E</w:t>
      </w:r>
      <w:r w:rsidR="00C778FB" w:rsidRPr="00E43C51">
        <w:rPr>
          <w:i/>
          <w:sz w:val="22"/>
          <w:szCs w:val="22"/>
        </w:rPr>
        <w:t xml:space="preserve">n el </w:t>
      </w:r>
      <w:r w:rsidRPr="00E43C51">
        <w:rPr>
          <w:i/>
          <w:sz w:val="22"/>
          <w:szCs w:val="22"/>
        </w:rPr>
        <w:t xml:space="preserve">present formulari </w:t>
      </w:r>
      <w:r w:rsidR="00C778FB" w:rsidRPr="00E43C51">
        <w:rPr>
          <w:i/>
          <w:sz w:val="22"/>
          <w:szCs w:val="22"/>
        </w:rPr>
        <w:t xml:space="preserve">s’han recollit els elements més importants que fan referència a l’estratègia, a l’organització, al seguiment i millora del SGIQ amb l’objectiu de </w:t>
      </w:r>
      <w:r w:rsidRPr="00E43C51">
        <w:rPr>
          <w:i/>
          <w:sz w:val="22"/>
          <w:szCs w:val="22"/>
        </w:rPr>
        <w:t xml:space="preserve">servir d’ajuda al </w:t>
      </w:r>
      <w:r w:rsidR="002F0EF4" w:rsidRPr="00E43C51">
        <w:rPr>
          <w:i/>
          <w:sz w:val="22"/>
          <w:szCs w:val="22"/>
        </w:rPr>
        <w:t xml:space="preserve">responsable acadèmic </w:t>
      </w:r>
      <w:r w:rsidR="00D61F2E">
        <w:rPr>
          <w:i/>
          <w:sz w:val="22"/>
          <w:szCs w:val="22"/>
        </w:rPr>
        <w:t xml:space="preserve">amb competències en matèria </w:t>
      </w:r>
      <w:r w:rsidRPr="00E43C51">
        <w:rPr>
          <w:i/>
          <w:sz w:val="22"/>
          <w:szCs w:val="22"/>
        </w:rPr>
        <w:t xml:space="preserve">de qualitat per tal de conèixer el grau d’implementació del </w:t>
      </w:r>
      <w:r w:rsidR="00C778FB" w:rsidRPr="00E43C51">
        <w:rPr>
          <w:i/>
          <w:sz w:val="22"/>
          <w:szCs w:val="22"/>
        </w:rPr>
        <w:t xml:space="preserve">sistema de qualitat i </w:t>
      </w:r>
      <w:r w:rsidR="00C34A55" w:rsidRPr="00E43C51">
        <w:rPr>
          <w:i/>
          <w:sz w:val="22"/>
          <w:szCs w:val="22"/>
        </w:rPr>
        <w:t xml:space="preserve">disposar d’un diagnòstic </w:t>
      </w:r>
      <w:r w:rsidR="00C778FB" w:rsidRPr="00E43C51">
        <w:rPr>
          <w:i/>
          <w:sz w:val="22"/>
          <w:szCs w:val="22"/>
        </w:rPr>
        <w:t>previ a la posada en marxa de l’aplicació TOTQ en el centre docent.</w:t>
      </w:r>
    </w:p>
    <w:tbl>
      <w:tblPr>
        <w:tblpPr w:leftFromText="141" w:rightFromText="141" w:vertAnchor="text" w:horzAnchor="margin" w:tblpY="819"/>
        <w:tblW w:w="9924" w:type="dxa"/>
        <w:tblBorders>
          <w:top w:val="single" w:sz="12" w:space="0" w:color="4F81BD" w:themeColor="accent1"/>
          <w:left w:val="single" w:sz="12" w:space="0" w:color="4F81BD" w:themeColor="accent1"/>
          <w:bottom w:val="single" w:sz="12" w:space="0" w:color="4F81BD" w:themeColor="accent1"/>
          <w:right w:val="single" w:sz="12" w:space="0" w:color="4F81BD" w:themeColor="accent1"/>
          <w:insideV w:val="single" w:sz="4" w:space="0" w:color="4F81BD" w:themeColor="accent1"/>
        </w:tblBorders>
        <w:tblLayout w:type="fixed"/>
        <w:tblLook w:val="00BF"/>
      </w:tblPr>
      <w:tblGrid>
        <w:gridCol w:w="8222"/>
        <w:gridCol w:w="851"/>
        <w:gridCol w:w="851"/>
      </w:tblGrid>
      <w:tr w:rsidR="00F402FC" w:rsidRPr="00FB3997" w:rsidTr="00F402FC">
        <w:trPr>
          <w:trHeight w:val="446"/>
        </w:trPr>
        <w:tc>
          <w:tcPr>
            <w:tcW w:w="8222" w:type="dxa"/>
            <w:vAlign w:val="center"/>
          </w:tcPr>
          <w:p w:rsidR="00F402FC" w:rsidRPr="00860D51" w:rsidRDefault="00F402FC" w:rsidP="00F402FC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before="240" w:after="0" w:line="240" w:lineRule="auto"/>
              <w:ind w:left="284" w:hanging="284"/>
              <w:jc w:val="both"/>
            </w:pPr>
            <w:r w:rsidRPr="00860D51">
              <w:rPr>
                <w:sz w:val="22"/>
                <w:szCs w:val="22"/>
              </w:rPr>
              <w:t>Existeix un òrgan col·legiat per fer el seguiment del SGIQ amb representació dels grups interès</w:t>
            </w:r>
          </w:p>
          <w:p w:rsidR="00F402FC" w:rsidRPr="00860D51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  <w:p w:rsidR="00F402FC" w:rsidRPr="00FB3997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F402FC" w:rsidRPr="00D03D87" w:rsidRDefault="00F402FC" w:rsidP="00F402FC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SÍ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spacing w:before="240"/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NO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02FC" w:rsidRPr="00FB3997" w:rsidTr="00F402FC">
        <w:trPr>
          <w:trHeight w:val="446"/>
        </w:trPr>
        <w:tc>
          <w:tcPr>
            <w:tcW w:w="8222" w:type="dxa"/>
            <w:vAlign w:val="center"/>
          </w:tcPr>
          <w:p w:rsidR="00F402FC" w:rsidRPr="00FB6A71" w:rsidRDefault="00F402FC" w:rsidP="00F402FC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rPr>
                <w:sz w:val="22"/>
                <w:szCs w:val="22"/>
              </w:rPr>
              <w:t>E</w:t>
            </w:r>
            <w:r>
              <w:rPr>
                <w:sz w:val="22"/>
                <w:szCs w:val="22"/>
              </w:rPr>
              <w:t xml:space="preserve">l centre docent compta amb un responsable acadèmic amb competències en matèria de qualitat per coordinar la implementació </w:t>
            </w:r>
            <w:r w:rsidRPr="00860D51">
              <w:rPr>
                <w:sz w:val="22"/>
                <w:szCs w:val="22"/>
              </w:rPr>
              <w:t>del SGIQ</w:t>
            </w:r>
          </w:p>
          <w:p w:rsidR="00F402FC" w:rsidRPr="00860D51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  <w:p w:rsidR="00F402FC" w:rsidRPr="00FB3997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SÍ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NO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02FC" w:rsidRPr="00FB3997" w:rsidTr="00F402FC">
        <w:trPr>
          <w:trHeight w:val="446"/>
        </w:trPr>
        <w:tc>
          <w:tcPr>
            <w:tcW w:w="8222" w:type="dxa"/>
            <w:vAlign w:val="center"/>
          </w:tcPr>
          <w:p w:rsidR="00F402FC" w:rsidRPr="00860D51" w:rsidRDefault="00F402FC" w:rsidP="00F402FC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rPr>
                <w:sz w:val="22"/>
                <w:szCs w:val="22"/>
              </w:rPr>
              <w:t>Cada procés té assignat un únic responsable</w:t>
            </w:r>
          </w:p>
          <w:p w:rsidR="00F402FC" w:rsidRPr="00860D51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  <w:p w:rsidR="00F402FC" w:rsidRPr="00FB3997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SÍ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NO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02FC" w:rsidRPr="00FB3997" w:rsidTr="00F402FC">
        <w:trPr>
          <w:trHeight w:val="446"/>
        </w:trPr>
        <w:tc>
          <w:tcPr>
            <w:tcW w:w="8222" w:type="dxa"/>
            <w:vAlign w:val="center"/>
          </w:tcPr>
          <w:p w:rsidR="00F402FC" w:rsidRPr="00FB6A71" w:rsidRDefault="00F402FC" w:rsidP="00F402FC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rPr>
                <w:sz w:val="22"/>
                <w:szCs w:val="22"/>
              </w:rPr>
              <w:t>El centre té pública i en un lloc fàcilment accessible del web la documentació del SGIQ</w:t>
            </w:r>
          </w:p>
          <w:p w:rsidR="00F402FC" w:rsidRPr="00860D51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  <w:p w:rsidR="00F402FC" w:rsidRPr="00FB3997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SÍ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NO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02FC" w:rsidRPr="00FB3997" w:rsidTr="00F402FC">
        <w:trPr>
          <w:trHeight w:val="446"/>
        </w:trPr>
        <w:tc>
          <w:tcPr>
            <w:tcW w:w="8222" w:type="dxa"/>
            <w:vAlign w:val="center"/>
          </w:tcPr>
          <w:p w:rsidR="00F402FC" w:rsidRPr="00860D51" w:rsidRDefault="00F402FC" w:rsidP="00F402FC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rPr>
                <w:sz w:val="22"/>
                <w:szCs w:val="22"/>
              </w:rPr>
              <w:t>El centre docent té definida formalment la política i objectius de qualitat</w:t>
            </w:r>
          </w:p>
          <w:p w:rsidR="00F402FC" w:rsidRPr="00860D51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  <w:p w:rsidR="00F402FC" w:rsidRPr="00FB3997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SÍ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NO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02FC" w:rsidRPr="00FB3997" w:rsidTr="00F402FC">
        <w:trPr>
          <w:trHeight w:val="446"/>
        </w:trPr>
        <w:tc>
          <w:tcPr>
            <w:tcW w:w="8222" w:type="dxa"/>
            <w:vAlign w:val="center"/>
          </w:tcPr>
          <w:p w:rsidR="00F402FC" w:rsidRPr="00860D51" w:rsidRDefault="00F402FC" w:rsidP="00F402FC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rPr>
                <w:sz w:val="22"/>
                <w:szCs w:val="22"/>
              </w:rPr>
              <w:t>S’ha fet difusió de la política i els objectius de qualitat als grups d’interès</w:t>
            </w:r>
          </w:p>
          <w:p w:rsidR="00F402FC" w:rsidRPr="00860D51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  <w:p w:rsidR="00F402FC" w:rsidRPr="00FB3997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SÍ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NO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02FC" w:rsidRPr="00D03D87" w:rsidTr="00F402FC">
        <w:trPr>
          <w:trHeight w:val="446"/>
        </w:trPr>
        <w:tc>
          <w:tcPr>
            <w:tcW w:w="8222" w:type="dxa"/>
            <w:vAlign w:val="center"/>
          </w:tcPr>
          <w:p w:rsidR="00F402FC" w:rsidRPr="00FB6A71" w:rsidRDefault="00F402FC" w:rsidP="00F402FC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rPr>
                <w:sz w:val="22"/>
                <w:szCs w:val="22"/>
              </w:rPr>
              <w:t>Les persones implicades en la implementació del SGIQ han rebut la formació de l’eina TOTQ per part dels formadors del centre</w:t>
            </w:r>
          </w:p>
          <w:p w:rsidR="00F402FC" w:rsidRPr="00860D51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  <w:p w:rsidR="00F402FC" w:rsidRPr="00FB3997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SÍ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NO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02FC" w:rsidRPr="00D03D87" w:rsidTr="00F402FC">
        <w:trPr>
          <w:trHeight w:val="446"/>
        </w:trPr>
        <w:tc>
          <w:tcPr>
            <w:tcW w:w="8222" w:type="dxa"/>
            <w:vAlign w:val="center"/>
          </w:tcPr>
          <w:p w:rsidR="00F402FC" w:rsidRPr="00FB6A71" w:rsidRDefault="00F402FC" w:rsidP="00F402FC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rPr>
                <w:sz w:val="22"/>
                <w:szCs w:val="22"/>
              </w:rPr>
              <w:t xml:space="preserve">La documentació del </w:t>
            </w:r>
            <w:r>
              <w:rPr>
                <w:sz w:val="22"/>
                <w:szCs w:val="22"/>
              </w:rPr>
              <w:t xml:space="preserve">disseny del </w:t>
            </w:r>
            <w:r w:rsidRPr="00860D51">
              <w:rPr>
                <w:sz w:val="22"/>
                <w:szCs w:val="22"/>
              </w:rPr>
              <w:t>SGIQ està revisada</w:t>
            </w:r>
            <w:r>
              <w:rPr>
                <w:sz w:val="22"/>
                <w:szCs w:val="22"/>
              </w:rPr>
              <w:t>,</w:t>
            </w:r>
            <w:r w:rsidRPr="00860D51">
              <w:rPr>
                <w:sz w:val="22"/>
                <w:szCs w:val="22"/>
              </w:rPr>
              <w:t xml:space="preserve"> actualitzada</w:t>
            </w:r>
            <w:r>
              <w:rPr>
                <w:sz w:val="22"/>
                <w:szCs w:val="22"/>
              </w:rPr>
              <w:t xml:space="preserve"> i simplificada</w:t>
            </w:r>
          </w:p>
          <w:p w:rsidR="00F402FC" w:rsidRPr="00860D51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  <w:p w:rsidR="00F402FC" w:rsidRPr="00FB3997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SÍ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NO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02FC" w:rsidRPr="00D03D87" w:rsidTr="00F402FC">
        <w:trPr>
          <w:trHeight w:val="446"/>
        </w:trPr>
        <w:tc>
          <w:tcPr>
            <w:tcW w:w="8222" w:type="dxa"/>
            <w:vAlign w:val="center"/>
          </w:tcPr>
          <w:p w:rsidR="00F402FC" w:rsidRPr="00860D51" w:rsidRDefault="00F402FC" w:rsidP="00F402FC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rPr>
                <w:sz w:val="22"/>
                <w:szCs w:val="22"/>
              </w:rPr>
              <w:t xml:space="preserve">Cada evidència té assignat un responsable de custòdia </w:t>
            </w:r>
          </w:p>
          <w:p w:rsidR="00F402FC" w:rsidRPr="00860D51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  <w:p w:rsidR="00F402FC" w:rsidRPr="00FB3997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SÍ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NO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02FC" w:rsidRPr="00D03D87" w:rsidTr="00F402FC">
        <w:trPr>
          <w:trHeight w:val="446"/>
        </w:trPr>
        <w:tc>
          <w:tcPr>
            <w:tcW w:w="8222" w:type="dxa"/>
            <w:vAlign w:val="center"/>
          </w:tcPr>
          <w:p w:rsidR="00F402FC" w:rsidRPr="00860D51" w:rsidRDefault="00F402FC" w:rsidP="00F402FC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rPr>
                <w:sz w:val="22"/>
                <w:szCs w:val="22"/>
              </w:rPr>
              <w:t>S’han identificat els indicadors per mesurar l’assoliment dels objectius de qualitat</w:t>
            </w:r>
          </w:p>
          <w:p w:rsidR="00F402FC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  <w:p w:rsidR="00F402FC" w:rsidRPr="00FB3997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SÍ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NO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02FC" w:rsidRPr="00D03D87" w:rsidTr="00F402FC">
        <w:trPr>
          <w:trHeight w:val="446"/>
        </w:trPr>
        <w:tc>
          <w:tcPr>
            <w:tcW w:w="8222" w:type="dxa"/>
            <w:vAlign w:val="center"/>
          </w:tcPr>
          <w:p w:rsidR="00F402FC" w:rsidRPr="00E43C51" w:rsidRDefault="00F402FC" w:rsidP="00F402FC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>
              <w:rPr>
                <w:sz w:val="22"/>
                <w:szCs w:val="22"/>
              </w:rPr>
              <w:t>S’ha implementat un sistema de recollida i de feedback d’opinions, queixes, suggeriments, etc dels grups d’interès</w:t>
            </w:r>
          </w:p>
          <w:p w:rsidR="00F402FC" w:rsidRPr="00E43C51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  <w:p w:rsidR="00F402FC" w:rsidRPr="00860D51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ind w:left="284"/>
              <w:jc w:val="both"/>
              <w:rPr>
                <w:sz w:val="22"/>
                <w:szCs w:val="22"/>
              </w:rPr>
            </w:pP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SÍ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NO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02FC" w:rsidRPr="00D03D87" w:rsidTr="00F402FC">
        <w:trPr>
          <w:trHeight w:val="446"/>
        </w:trPr>
        <w:tc>
          <w:tcPr>
            <w:tcW w:w="8222" w:type="dxa"/>
            <w:vAlign w:val="center"/>
          </w:tcPr>
          <w:p w:rsidR="00F402FC" w:rsidRPr="00FB6A71" w:rsidRDefault="00F402FC" w:rsidP="00F402FC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rPr>
                <w:sz w:val="22"/>
                <w:szCs w:val="22"/>
              </w:rPr>
              <w:t>S’ha especificat com es revisa cada procés i s’implementen les millores</w:t>
            </w:r>
          </w:p>
          <w:p w:rsidR="00F402FC" w:rsidRPr="00860D51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  <w:p w:rsidR="00F402FC" w:rsidRPr="00FB3997" w:rsidRDefault="00F402FC" w:rsidP="00F402FC">
            <w:pPr>
              <w:widowControl/>
              <w:tabs>
                <w:tab w:val="left" w:pos="284"/>
              </w:tabs>
              <w:spacing w:after="0" w:line="240" w:lineRule="auto"/>
              <w:jc w:val="both"/>
            </w:pP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SÍ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NO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  <w:tr w:rsidR="00F402FC" w:rsidRPr="00D03D87" w:rsidTr="00F402FC">
        <w:trPr>
          <w:trHeight w:val="446"/>
        </w:trPr>
        <w:tc>
          <w:tcPr>
            <w:tcW w:w="8222" w:type="dxa"/>
            <w:vAlign w:val="center"/>
          </w:tcPr>
          <w:p w:rsidR="00F402FC" w:rsidRPr="00FB3997" w:rsidRDefault="00F402FC" w:rsidP="00F402FC">
            <w:pPr>
              <w:widowControl/>
              <w:numPr>
                <w:ilvl w:val="0"/>
                <w:numId w:val="2"/>
              </w:numPr>
              <w:tabs>
                <w:tab w:val="left" w:pos="284"/>
              </w:tabs>
              <w:spacing w:after="0" w:line="240" w:lineRule="auto"/>
              <w:ind w:left="284" w:hanging="284"/>
              <w:jc w:val="both"/>
            </w:pPr>
            <w:r w:rsidRPr="00860D51">
              <w:rPr>
                <w:sz w:val="22"/>
                <w:szCs w:val="22"/>
              </w:rPr>
              <w:t>Per a la rendició de comptes als grups d’interès, s’ha identificat la informació que s’ofereix i els canals establerts</w:t>
            </w:r>
            <w:r>
              <w:rPr>
                <w:sz w:val="22"/>
                <w:szCs w:val="22"/>
              </w:rPr>
              <w:t xml:space="preserve"> per a la seva participació</w:t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SÍ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  <w:tc>
          <w:tcPr>
            <w:tcW w:w="851" w:type="dxa"/>
          </w:tcPr>
          <w:p w:rsidR="00F402FC" w:rsidRPr="00D03D87" w:rsidRDefault="00F402FC" w:rsidP="00F402FC">
            <w:pPr>
              <w:rPr>
                <w:rFonts w:ascii="Times New Roman" w:hAnsi="Times New Roman"/>
                <w:sz w:val="18"/>
                <w:szCs w:val="18"/>
              </w:rPr>
            </w:pPr>
            <w:r w:rsidRPr="00D03D87">
              <w:rPr>
                <w:sz w:val="18"/>
                <w:szCs w:val="18"/>
              </w:rPr>
              <w:t xml:space="preserve">NO </w:t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begin">
                <w:ffData>
                  <w:name w:val="Casill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3D87">
              <w:rPr>
                <w:sz w:val="18"/>
                <w:szCs w:val="18"/>
              </w:rPr>
              <w:instrText xml:space="preserve"> FORMCHECKBOX </w:instrText>
            </w:r>
            <w:r>
              <w:rPr>
                <w:rFonts w:ascii="Times New Roman" w:hAnsi="Times New Roman"/>
                <w:sz w:val="18"/>
                <w:szCs w:val="18"/>
              </w:rPr>
            </w:r>
            <w:r>
              <w:rPr>
                <w:rFonts w:ascii="Times New Roman" w:hAnsi="Times New Roman"/>
                <w:sz w:val="18"/>
                <w:szCs w:val="18"/>
              </w:rPr>
              <w:fldChar w:fldCharType="separate"/>
            </w:r>
            <w:r w:rsidRPr="00D03D87">
              <w:rPr>
                <w:rFonts w:ascii="Times New Roman" w:hAnsi="Times New Roman"/>
                <w:sz w:val="18"/>
                <w:szCs w:val="18"/>
              </w:rPr>
              <w:fldChar w:fldCharType="end"/>
            </w:r>
          </w:p>
        </w:tc>
      </w:tr>
    </w:tbl>
    <w:p w:rsidR="00332CED" w:rsidRPr="00F402FC" w:rsidRDefault="00332CED" w:rsidP="00332CED">
      <w:pPr>
        <w:spacing w:after="0"/>
        <w:jc w:val="both"/>
        <w:rPr>
          <w:i/>
          <w:sz w:val="2"/>
          <w:szCs w:val="2"/>
        </w:rPr>
      </w:pPr>
      <w:r w:rsidRPr="00E43C51">
        <w:rPr>
          <w:i/>
          <w:sz w:val="22"/>
          <w:szCs w:val="22"/>
        </w:rPr>
        <w:t xml:space="preserve">En aquells elements on la resposta sigui negativa caldrà que el centre realitzi actuacions per assegurar la posada en marxa del </w:t>
      </w:r>
      <w:proofErr w:type="spellStart"/>
      <w:r w:rsidRPr="00E43C51">
        <w:rPr>
          <w:i/>
          <w:sz w:val="22"/>
          <w:szCs w:val="22"/>
        </w:rPr>
        <w:t>SGIQ</w:t>
      </w:r>
      <w:proofErr w:type="spellEnd"/>
      <w:r w:rsidRPr="00E43C51">
        <w:rPr>
          <w:i/>
          <w:sz w:val="22"/>
          <w:szCs w:val="22"/>
        </w:rPr>
        <w:t>.</w:t>
      </w:r>
    </w:p>
    <w:sectPr w:rsidR="00332CED" w:rsidRPr="00F402FC" w:rsidSect="004946D5">
      <w:pgSz w:w="11906" w:h="16838"/>
      <w:pgMar w:top="1134" w:right="1077" w:bottom="1134" w:left="107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141E" w:rsidRDefault="0032141E" w:rsidP="003060D8">
      <w:pPr>
        <w:spacing w:after="0" w:line="240" w:lineRule="auto"/>
      </w:pPr>
      <w:r>
        <w:separator/>
      </w:r>
    </w:p>
  </w:endnote>
  <w:endnote w:type="continuationSeparator" w:id="0">
    <w:p w:rsidR="0032141E" w:rsidRDefault="0032141E" w:rsidP="0030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141E" w:rsidRPr="003060D8" w:rsidRDefault="0032141E" w:rsidP="003060D8">
    <w:pPr>
      <w:pStyle w:val="Piedepgina"/>
      <w:tabs>
        <w:tab w:val="clear" w:pos="8504"/>
        <w:tab w:val="right" w:pos="9639"/>
      </w:tabs>
      <w:rPr>
        <w:sz w:val="18"/>
        <w:szCs w:val="18"/>
        <w:lang w:val="es-ES"/>
      </w:rPr>
    </w:pPr>
    <w:r w:rsidRPr="00C378C0">
      <w:rPr>
        <w:sz w:val="18"/>
        <w:szCs w:val="18"/>
      </w:rPr>
      <w:t>Gabinet de Planificació, Avaluació i Qualitat</w:t>
    </w:r>
    <w:r w:rsidRPr="00C378C0">
      <w:rPr>
        <w:sz w:val="18"/>
        <w:szCs w:val="18"/>
      </w:rPr>
      <w:tab/>
    </w:r>
    <w:r w:rsidRPr="003060D8">
      <w:rPr>
        <w:sz w:val="18"/>
        <w:szCs w:val="18"/>
        <w:lang w:val="es-ES"/>
      </w:rPr>
      <w:tab/>
    </w:r>
    <w:r w:rsidRPr="00C378C0">
      <w:rPr>
        <w:sz w:val="18"/>
        <w:szCs w:val="18"/>
      </w:rPr>
      <w:t>Setembre</w:t>
    </w:r>
    <w:r>
      <w:rPr>
        <w:sz w:val="18"/>
        <w:szCs w:val="18"/>
        <w:lang w:val="es-ES"/>
      </w:rPr>
      <w:t xml:space="preserve"> </w:t>
    </w:r>
    <w:r w:rsidRPr="003060D8">
      <w:rPr>
        <w:sz w:val="18"/>
        <w:szCs w:val="18"/>
        <w:lang w:val="es-ES"/>
      </w:rPr>
      <w:t>2012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141E" w:rsidRDefault="0032141E" w:rsidP="003060D8">
      <w:pPr>
        <w:spacing w:after="0" w:line="240" w:lineRule="auto"/>
      </w:pPr>
      <w:r>
        <w:separator/>
      </w:r>
    </w:p>
  </w:footnote>
  <w:footnote w:type="continuationSeparator" w:id="0">
    <w:p w:rsidR="0032141E" w:rsidRDefault="0032141E" w:rsidP="003060D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8522F"/>
    <w:multiLevelType w:val="multilevel"/>
    <w:tmpl w:val="7FA8F1E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>
    <w:nsid w:val="18A705C4"/>
    <w:multiLevelType w:val="hybridMultilevel"/>
    <w:tmpl w:val="DED06A7A"/>
    <w:lvl w:ilvl="0" w:tplc="F21E0404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84639"/>
    <w:multiLevelType w:val="hybridMultilevel"/>
    <w:tmpl w:val="98C65A86"/>
    <w:lvl w:ilvl="0" w:tplc="ABA0B83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E16963"/>
    <w:multiLevelType w:val="hybridMultilevel"/>
    <w:tmpl w:val="AF56E60A"/>
    <w:lvl w:ilvl="0" w:tplc="A8ECFF3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82515A"/>
    <w:multiLevelType w:val="hybridMultilevel"/>
    <w:tmpl w:val="377AC84E"/>
    <w:lvl w:ilvl="0" w:tplc="F21E0404">
      <w:start w:val="1"/>
      <w:numFmt w:val="decimal"/>
      <w:lvlText w:val="%1."/>
      <w:lvlJc w:val="left"/>
      <w:pPr>
        <w:ind w:left="360" w:hanging="360"/>
      </w:p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63C069A"/>
    <w:multiLevelType w:val="hybridMultilevel"/>
    <w:tmpl w:val="D3FA9F86"/>
    <w:lvl w:ilvl="0" w:tplc="4F329E84"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4"/>
    <w:lvlOverride w:ilvl="0">
      <w:lvl w:ilvl="0" w:tplc="F21E0404">
        <w:start w:val="1"/>
        <w:numFmt w:val="decimal"/>
        <w:lvlText w:val="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 w:tplc="FFFFFFFF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FFFFFFFF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FFFFFFF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FFFFFFFF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FFFFFFFF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FFFFFFF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FFFFFFFF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FFFFFFFF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5">
    <w:abstractNumId w:val="5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A0039"/>
    <w:rsid w:val="00016732"/>
    <w:rsid w:val="000A3729"/>
    <w:rsid w:val="00100169"/>
    <w:rsid w:val="00132F8F"/>
    <w:rsid w:val="00165281"/>
    <w:rsid w:val="001A4E2F"/>
    <w:rsid w:val="001B7AB9"/>
    <w:rsid w:val="001E7491"/>
    <w:rsid w:val="001F7672"/>
    <w:rsid w:val="002E2CDC"/>
    <w:rsid w:val="002F0CB0"/>
    <w:rsid w:val="002F0EF4"/>
    <w:rsid w:val="003060D8"/>
    <w:rsid w:val="0032141E"/>
    <w:rsid w:val="00332CED"/>
    <w:rsid w:val="003458DC"/>
    <w:rsid w:val="00387211"/>
    <w:rsid w:val="003B1346"/>
    <w:rsid w:val="003F57DE"/>
    <w:rsid w:val="0040492F"/>
    <w:rsid w:val="00417FF1"/>
    <w:rsid w:val="00420670"/>
    <w:rsid w:val="00465C6F"/>
    <w:rsid w:val="00472F89"/>
    <w:rsid w:val="00473408"/>
    <w:rsid w:val="004766F1"/>
    <w:rsid w:val="004946D5"/>
    <w:rsid w:val="004B019F"/>
    <w:rsid w:val="00524F79"/>
    <w:rsid w:val="005543DF"/>
    <w:rsid w:val="005901B0"/>
    <w:rsid w:val="005C58CD"/>
    <w:rsid w:val="005E75D4"/>
    <w:rsid w:val="0062466F"/>
    <w:rsid w:val="00630B23"/>
    <w:rsid w:val="006548C3"/>
    <w:rsid w:val="00666AAE"/>
    <w:rsid w:val="0068258C"/>
    <w:rsid w:val="006C03AC"/>
    <w:rsid w:val="00706B3B"/>
    <w:rsid w:val="00733965"/>
    <w:rsid w:val="0077517D"/>
    <w:rsid w:val="007A781E"/>
    <w:rsid w:val="007C2A94"/>
    <w:rsid w:val="008006D1"/>
    <w:rsid w:val="008015E8"/>
    <w:rsid w:val="008204B5"/>
    <w:rsid w:val="00860D51"/>
    <w:rsid w:val="008B038A"/>
    <w:rsid w:val="008B6A70"/>
    <w:rsid w:val="008C628F"/>
    <w:rsid w:val="00922C3E"/>
    <w:rsid w:val="0094690F"/>
    <w:rsid w:val="00993891"/>
    <w:rsid w:val="009C490B"/>
    <w:rsid w:val="00A04D50"/>
    <w:rsid w:val="00A065D7"/>
    <w:rsid w:val="00A22858"/>
    <w:rsid w:val="00A23F69"/>
    <w:rsid w:val="00A454B0"/>
    <w:rsid w:val="00B05640"/>
    <w:rsid w:val="00B209F7"/>
    <w:rsid w:val="00B82AC5"/>
    <w:rsid w:val="00BA0039"/>
    <w:rsid w:val="00BB6EF1"/>
    <w:rsid w:val="00BB7161"/>
    <w:rsid w:val="00BF4A2E"/>
    <w:rsid w:val="00C14691"/>
    <w:rsid w:val="00C34A55"/>
    <w:rsid w:val="00C378C0"/>
    <w:rsid w:val="00C47131"/>
    <w:rsid w:val="00C65B1D"/>
    <w:rsid w:val="00C778FB"/>
    <w:rsid w:val="00CA17E6"/>
    <w:rsid w:val="00CC19D9"/>
    <w:rsid w:val="00D30161"/>
    <w:rsid w:val="00D43D6F"/>
    <w:rsid w:val="00D61F2E"/>
    <w:rsid w:val="00D65759"/>
    <w:rsid w:val="00D720D2"/>
    <w:rsid w:val="00D75083"/>
    <w:rsid w:val="00DC041E"/>
    <w:rsid w:val="00E43C51"/>
    <w:rsid w:val="00E5095B"/>
    <w:rsid w:val="00E8450D"/>
    <w:rsid w:val="00E85562"/>
    <w:rsid w:val="00E8662E"/>
    <w:rsid w:val="00E91FE3"/>
    <w:rsid w:val="00EB0754"/>
    <w:rsid w:val="00ED7EA0"/>
    <w:rsid w:val="00EE1C05"/>
    <w:rsid w:val="00EE4C6C"/>
    <w:rsid w:val="00F2423D"/>
    <w:rsid w:val="00F32DC0"/>
    <w:rsid w:val="00F402FC"/>
    <w:rsid w:val="00FA1310"/>
    <w:rsid w:val="00FA287F"/>
    <w:rsid w:val="00FB6A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>
      <o:colormenu v:ext="edit" strokecolor="none [1951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690F"/>
    <w:pPr>
      <w:widowControl w:val="0"/>
    </w:pPr>
    <w:rPr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BA0039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543DF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Encabezado">
    <w:name w:val="header"/>
    <w:basedOn w:val="Normal"/>
    <w:link w:val="EncabezadoCar"/>
    <w:uiPriority w:val="99"/>
    <w:semiHidden/>
    <w:unhideWhenUsed/>
    <w:rsid w:val="00306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3060D8"/>
    <w:rPr>
      <w:lang w:val="ca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3060D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3060D8"/>
    <w:rPr>
      <w:lang w:val="ca-ES"/>
    </w:rPr>
  </w:style>
  <w:style w:type="paragraph" w:styleId="Prrafodelista">
    <w:name w:val="List Paragraph"/>
    <w:basedOn w:val="Normal"/>
    <w:uiPriority w:val="34"/>
    <w:qFormat/>
    <w:rsid w:val="00A454B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D301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0161"/>
    <w:rPr>
      <w:rFonts w:ascii="Tahoma" w:hAnsi="Tahoma" w:cs="Tahoma"/>
      <w:sz w:val="16"/>
      <w:szCs w:val="16"/>
      <w:lang w:val="ca-E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F4FB0-7A63-4781-B2A4-5A590BD704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389</Words>
  <Characters>2145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UPC</Company>
  <LinksUpToDate>false</LinksUpToDate>
  <CharactersWithSpaces>2529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7</cp:revision>
  <dcterms:created xsi:type="dcterms:W3CDTF">2012-09-19T09:09:00Z</dcterms:created>
  <dcterms:modified xsi:type="dcterms:W3CDTF">2012-09-19T09:41:00Z</dcterms:modified>
</cp:coreProperties>
</file>