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43" w:rsidRDefault="0064187A" w:rsidP="00DD6D43">
      <w:pPr>
        <w:rPr>
          <w:b/>
        </w:rPr>
      </w:pPr>
      <w:r>
        <w:rPr>
          <w:b/>
        </w:rPr>
        <w:t>T</w:t>
      </w:r>
      <w:r w:rsidR="00DD6D43" w:rsidRPr="00DD6D43">
        <w:rPr>
          <w:b/>
        </w:rPr>
        <w:t>ipo de movilidad</w:t>
      </w:r>
    </w:p>
    <w:p w:rsidR="0064187A" w:rsidRPr="00DD6D43" w:rsidRDefault="0064187A" w:rsidP="00DD6D43">
      <w:pPr>
        <w:rPr>
          <w:b/>
        </w:rPr>
      </w:pPr>
    </w:p>
    <w:p w:rsidR="00DD6D43" w:rsidRDefault="00DD6D43" w:rsidP="00DD6D43">
      <w:pPr>
        <w:ind w:left="360"/>
        <w:jc w:val="both"/>
      </w:pPr>
      <w:r>
        <w:t>El beneficiario</w:t>
      </w:r>
      <w:r w:rsidR="00F0686D">
        <w:t xml:space="preserve"> o beneficiaria</w:t>
      </w:r>
      <w:r>
        <w:t xml:space="preserve"> declara aceptar el tipo de movilidad internacional que se indica </w:t>
      </w:r>
      <w:r w:rsidR="00F0686D">
        <w:t xml:space="preserve">más </w:t>
      </w:r>
      <w:r>
        <w:t xml:space="preserve">abajo y que se corresponde con la versión de movilidad internacional indicada por las universidades de origen y destino: </w:t>
      </w:r>
    </w:p>
    <w:p w:rsidR="00DD6D43" w:rsidRDefault="00DD6D43" w:rsidP="00DD6D43">
      <w:pPr>
        <w:ind w:left="360"/>
        <w:jc w:val="both"/>
      </w:pPr>
    </w:p>
    <w:p w:rsidR="00DD6D43" w:rsidRDefault="00DD6D43" w:rsidP="00DD6D43">
      <w:pPr>
        <w:pStyle w:val="Pargrafdellista"/>
        <w:numPr>
          <w:ilvl w:val="0"/>
          <w:numId w:val="1"/>
        </w:numPr>
        <w:ind w:left="1080"/>
        <w:jc w:val="both"/>
      </w:pPr>
      <w:r>
        <w:t>Movilidad física</w:t>
      </w:r>
    </w:p>
    <w:p w:rsidR="00DD6D43" w:rsidRDefault="00DD6D43" w:rsidP="00DD6D43">
      <w:pPr>
        <w:pStyle w:val="Pargrafdellista"/>
        <w:numPr>
          <w:ilvl w:val="0"/>
          <w:numId w:val="1"/>
        </w:numPr>
        <w:ind w:left="1080"/>
        <w:jc w:val="both"/>
      </w:pPr>
      <w:r>
        <w:t>Movilidad combinada (</w:t>
      </w:r>
      <w:proofErr w:type="spellStart"/>
      <w:r w:rsidRPr="006852CB">
        <w:rPr>
          <w:i/>
        </w:rPr>
        <w:t>blended</w:t>
      </w:r>
      <w:proofErr w:type="spellEnd"/>
      <w:r w:rsidRPr="006852CB">
        <w:rPr>
          <w:i/>
        </w:rPr>
        <w:t xml:space="preserve"> </w:t>
      </w:r>
      <w:proofErr w:type="spellStart"/>
      <w:r w:rsidRPr="006852CB">
        <w:rPr>
          <w:i/>
        </w:rPr>
        <w:t>mobility</w:t>
      </w:r>
      <w:proofErr w:type="spellEnd"/>
      <w:r w:rsidRPr="00344389">
        <w:t>)</w:t>
      </w:r>
    </w:p>
    <w:p w:rsidR="00D8232D" w:rsidRDefault="00D8232D" w:rsidP="00DD6D43">
      <w:pPr>
        <w:pStyle w:val="Pargrafdellista"/>
        <w:numPr>
          <w:ilvl w:val="0"/>
          <w:numId w:val="1"/>
        </w:numPr>
        <w:ind w:left="1080"/>
        <w:jc w:val="both"/>
      </w:pPr>
      <w:r>
        <w:t>Movilidad virtual</w:t>
      </w:r>
    </w:p>
    <w:p w:rsidR="00DD6D43" w:rsidRDefault="00DD6D43" w:rsidP="00DD6D43">
      <w:pPr>
        <w:ind w:left="360"/>
        <w:jc w:val="both"/>
      </w:pPr>
    </w:p>
    <w:p w:rsidR="00DD6D43" w:rsidRDefault="00DD6D43" w:rsidP="00DD6D43">
      <w:pPr>
        <w:ind w:left="360"/>
        <w:jc w:val="both"/>
      </w:pPr>
      <w:r>
        <w:t>El beneficiario</w:t>
      </w:r>
      <w:r w:rsidR="00F0686D">
        <w:t xml:space="preserve"> o beneficiaria</w:t>
      </w:r>
      <w:r>
        <w:t xml:space="preserve"> </w:t>
      </w:r>
      <w:r w:rsidR="005B76F2">
        <w:t>deberá atenerse</w:t>
      </w:r>
      <w:r>
        <w:t xml:space="preserve"> a las condiciones sobre financiación y, en su caso, desplazamiento que </w:t>
      </w:r>
      <w:r w:rsidR="00F0686D">
        <w:t>indiquen</w:t>
      </w:r>
      <w:r>
        <w:t xml:space="preserve"> los organismos financiadores y las correspondientes </w:t>
      </w:r>
      <w:r w:rsidR="00F0686D">
        <w:t xml:space="preserve">agencias nacionales </w:t>
      </w:r>
      <w:r>
        <w:t>encargadas de la organización de la movilidad, en su caso</w:t>
      </w:r>
      <w:r w:rsidR="00002EDB">
        <w:t>,</w:t>
      </w:r>
      <w:r>
        <w:t xml:space="preserve"> o, en su defecto, la universidad de origen. Siempre que exista desplazamiento (movilidad física o combinada), el beneficiario</w:t>
      </w:r>
      <w:r w:rsidR="00002EDB">
        <w:t xml:space="preserve"> o beneficiaria</w:t>
      </w:r>
      <w:r>
        <w:t xml:space="preserve"> se compromete a respetar todas las normas de sanidad y prevención que emanen de las autoridades nacionales e internacionales, así como de la propia institución de destino.</w:t>
      </w:r>
    </w:p>
    <w:p w:rsidR="00DD6D43" w:rsidRDefault="00DD6D43" w:rsidP="00DD6D43">
      <w:pPr>
        <w:jc w:val="both"/>
      </w:pPr>
    </w:p>
    <w:p w:rsidR="00DD6D43" w:rsidRPr="00DD6D43" w:rsidRDefault="00DD6D43" w:rsidP="00DD6D43">
      <w:pPr>
        <w:rPr>
          <w:b/>
        </w:rPr>
      </w:pPr>
      <w:r w:rsidRPr="00DD6D43">
        <w:rPr>
          <w:b/>
        </w:rPr>
        <w:t>Cláusula de contingencia y cambio de escenario</w:t>
      </w:r>
    </w:p>
    <w:p w:rsidR="00DD6D43" w:rsidRDefault="00DD6D43" w:rsidP="00DD6D43"/>
    <w:p w:rsidR="00DD6D43" w:rsidRDefault="00DD6D43" w:rsidP="00DD6D43">
      <w:pPr>
        <w:ind w:left="360"/>
        <w:jc w:val="both"/>
      </w:pPr>
      <w:r>
        <w:t>El beneficiario</w:t>
      </w:r>
      <w:r w:rsidR="005B76F2">
        <w:t xml:space="preserve"> o beneficiaria</w:t>
      </w:r>
      <w:r>
        <w:t xml:space="preserve"> acepta que, </w:t>
      </w:r>
      <w:r w:rsidR="009439A6">
        <w:t>por motivos de</w:t>
      </w:r>
      <w:r>
        <w:t xml:space="preserve"> fuerza mayor, la institución de destino, siguiendo directrices propias o de organismos nacionales o internacionales, </w:t>
      </w:r>
      <w:r w:rsidR="009439A6">
        <w:t>deba adaptarse</w:t>
      </w:r>
      <w:r>
        <w:t xml:space="preserve"> a cambios de escenario sobrevenidos que obliguen a la modificación del tipo de movilidad convenida antes de iniciar la estancia. Esta modificación del tipo de movilidad se realizará siempre atendiendo al principio de flexibilidad, seguridad y minimización de impacto económico y académico. </w:t>
      </w:r>
      <w:r w:rsidRPr="00C841DC">
        <w:t xml:space="preserve"> </w:t>
      </w:r>
      <w:r>
        <w:t xml:space="preserve">Independientemente del tipo de movilidad, el acuerdo interinstitucional entre la universidad de origen y </w:t>
      </w:r>
      <w:r w:rsidR="009439A6">
        <w:t xml:space="preserve">la </w:t>
      </w:r>
      <w:r>
        <w:t xml:space="preserve">de destino </w:t>
      </w:r>
      <w:r w:rsidR="009439A6">
        <w:t xml:space="preserve">deberá garantizar </w:t>
      </w:r>
      <w:r>
        <w:t xml:space="preserve">el reconocimiento académico de las asignaturas cursadas </w:t>
      </w:r>
      <w:r w:rsidR="00546237">
        <w:t xml:space="preserve">y superadas </w:t>
      </w:r>
      <w:r>
        <w:t xml:space="preserve">durante la movilidad. </w:t>
      </w:r>
    </w:p>
    <w:p w:rsidR="00DD6D43" w:rsidRDefault="00DD6D43" w:rsidP="00DD6D43">
      <w:pPr>
        <w:ind w:left="708"/>
        <w:jc w:val="both"/>
      </w:pPr>
    </w:p>
    <w:p w:rsidR="00DD6D43" w:rsidRPr="00DD6D43" w:rsidRDefault="00DD6D43" w:rsidP="00DD6D43">
      <w:pPr>
        <w:jc w:val="both"/>
        <w:rPr>
          <w:rFonts w:cstheme="minorHAnsi"/>
          <w:b/>
        </w:rPr>
      </w:pPr>
      <w:r w:rsidRPr="00DD6D43">
        <w:rPr>
          <w:rFonts w:cstheme="minorHAnsi"/>
          <w:b/>
        </w:rPr>
        <w:t>Anexo: Definiciones de tipo de movilidad</w:t>
      </w:r>
    </w:p>
    <w:p w:rsidR="00DD6D43" w:rsidRPr="00B55485" w:rsidRDefault="00DD6D43" w:rsidP="00DD6D43">
      <w:pPr>
        <w:ind w:left="1416"/>
        <w:jc w:val="both"/>
        <w:rPr>
          <w:rFonts w:cstheme="minorHAnsi"/>
          <w:i/>
        </w:rPr>
      </w:pPr>
    </w:p>
    <w:p w:rsidR="00DD6D43" w:rsidRDefault="00DD6D43" w:rsidP="00DD6D43">
      <w:pPr>
        <w:numPr>
          <w:ilvl w:val="0"/>
          <w:numId w:val="2"/>
        </w:numPr>
        <w:ind w:left="1440"/>
        <w:jc w:val="both"/>
        <w:rPr>
          <w:rFonts w:eastAsia="Arial" w:cstheme="minorHAnsi"/>
          <w:color w:val="222222"/>
        </w:rPr>
      </w:pPr>
      <w:r w:rsidRPr="00B55485">
        <w:rPr>
          <w:rFonts w:eastAsia="Arial" w:cstheme="minorHAnsi"/>
          <w:b/>
          <w:color w:val="222222"/>
        </w:rPr>
        <w:t>Movilidad física:</w:t>
      </w:r>
      <w:r w:rsidRPr="00B55485">
        <w:rPr>
          <w:rFonts w:eastAsia="Arial" w:cstheme="minorHAnsi"/>
          <w:color w:val="222222"/>
        </w:rPr>
        <w:t xml:space="preserve"> Movilidad en la que </w:t>
      </w:r>
      <w:r w:rsidR="00286110">
        <w:rPr>
          <w:rFonts w:eastAsia="Arial" w:cstheme="minorHAnsi"/>
          <w:color w:val="222222"/>
        </w:rPr>
        <w:t>el</w:t>
      </w:r>
      <w:r w:rsidRPr="00B55485">
        <w:rPr>
          <w:rFonts w:eastAsia="Arial" w:cstheme="minorHAnsi"/>
          <w:color w:val="222222"/>
        </w:rPr>
        <w:t xml:space="preserve"> estudiante </w:t>
      </w:r>
      <w:r w:rsidR="00286110">
        <w:rPr>
          <w:rFonts w:eastAsia="Arial" w:cstheme="minorHAnsi"/>
          <w:color w:val="222222"/>
        </w:rPr>
        <w:t xml:space="preserve">o la estudiante </w:t>
      </w:r>
      <w:r w:rsidRPr="00B55485">
        <w:rPr>
          <w:rFonts w:eastAsia="Arial" w:cstheme="minorHAnsi"/>
          <w:color w:val="222222"/>
        </w:rPr>
        <w:t xml:space="preserve">se encuentra físicamente en la universidad de destino durante todo el período de estudios programado. Se puede corresponder con modalidades de </w:t>
      </w:r>
      <w:r w:rsidRPr="00B55485">
        <w:rPr>
          <w:rFonts w:eastAsia="Arial" w:cstheme="minorHAnsi"/>
          <w:b/>
          <w:color w:val="222222"/>
        </w:rPr>
        <w:t>enseñanza presencia</w:t>
      </w:r>
      <w:r w:rsidRPr="00B55485">
        <w:rPr>
          <w:rFonts w:eastAsia="Arial" w:cstheme="minorHAnsi"/>
          <w:color w:val="222222"/>
        </w:rPr>
        <w:t xml:space="preserve">l o </w:t>
      </w:r>
      <w:r w:rsidRPr="00B55485">
        <w:rPr>
          <w:rFonts w:eastAsia="Arial" w:cstheme="minorHAnsi"/>
          <w:b/>
          <w:color w:val="222222"/>
        </w:rPr>
        <w:t>semipresencial</w:t>
      </w:r>
      <w:r w:rsidRPr="00B55485">
        <w:rPr>
          <w:rFonts w:eastAsia="Arial" w:cstheme="minorHAnsi"/>
          <w:color w:val="222222"/>
        </w:rPr>
        <w:t xml:space="preserve">, incluyendo el </w:t>
      </w:r>
      <w:proofErr w:type="spellStart"/>
      <w:r w:rsidRPr="00B55485">
        <w:rPr>
          <w:rFonts w:eastAsia="Arial" w:cstheme="minorHAnsi"/>
          <w:i/>
          <w:color w:val="222222"/>
        </w:rPr>
        <w:t>blended</w:t>
      </w:r>
      <w:proofErr w:type="spellEnd"/>
      <w:r w:rsidRPr="00B55485">
        <w:rPr>
          <w:rFonts w:eastAsia="Arial" w:cstheme="minorHAnsi"/>
          <w:i/>
          <w:color w:val="222222"/>
        </w:rPr>
        <w:t xml:space="preserve"> </w:t>
      </w:r>
      <w:proofErr w:type="spellStart"/>
      <w:r w:rsidRPr="00B55485">
        <w:rPr>
          <w:rFonts w:eastAsia="Arial" w:cstheme="minorHAnsi"/>
          <w:i/>
          <w:color w:val="222222"/>
        </w:rPr>
        <w:t>learning</w:t>
      </w:r>
      <w:proofErr w:type="spellEnd"/>
      <w:r w:rsidRPr="00B55485">
        <w:rPr>
          <w:rFonts w:eastAsia="Arial" w:cstheme="minorHAnsi"/>
          <w:color w:val="222222"/>
        </w:rPr>
        <w:t>.</w:t>
      </w:r>
    </w:p>
    <w:p w:rsidR="00DD6D43" w:rsidRPr="00B55485" w:rsidRDefault="00DD6D43" w:rsidP="00DD6D43">
      <w:pPr>
        <w:ind w:left="1440"/>
        <w:jc w:val="both"/>
        <w:rPr>
          <w:rFonts w:eastAsia="Arial" w:cstheme="minorHAnsi"/>
          <w:color w:val="222222"/>
        </w:rPr>
      </w:pPr>
      <w:r w:rsidRPr="00B55485">
        <w:rPr>
          <w:rFonts w:eastAsia="Arial" w:cstheme="minorHAnsi"/>
          <w:color w:val="222222"/>
        </w:rPr>
        <w:t xml:space="preserve"> </w:t>
      </w:r>
    </w:p>
    <w:p w:rsidR="00DD6D43" w:rsidRDefault="00DD6D43" w:rsidP="00DD6D43">
      <w:pPr>
        <w:numPr>
          <w:ilvl w:val="0"/>
          <w:numId w:val="2"/>
        </w:numPr>
        <w:ind w:left="1440"/>
        <w:jc w:val="both"/>
        <w:rPr>
          <w:rFonts w:eastAsia="Arial" w:cstheme="minorHAnsi"/>
          <w:color w:val="222222"/>
          <w:highlight w:val="white"/>
        </w:rPr>
      </w:pPr>
      <w:r w:rsidRPr="00B55485">
        <w:rPr>
          <w:rFonts w:eastAsia="Arial" w:cstheme="minorHAnsi"/>
          <w:b/>
          <w:color w:val="222222"/>
          <w:highlight w:val="white"/>
        </w:rPr>
        <w:t xml:space="preserve">Movilidad combinada o </w:t>
      </w:r>
      <w:proofErr w:type="spellStart"/>
      <w:r w:rsidR="00286110">
        <w:rPr>
          <w:rFonts w:eastAsia="Arial" w:cstheme="minorHAnsi"/>
          <w:b/>
          <w:i/>
          <w:color w:val="222222"/>
          <w:highlight w:val="white"/>
        </w:rPr>
        <w:t>b</w:t>
      </w:r>
      <w:r w:rsidR="00286110" w:rsidRPr="00B55485">
        <w:rPr>
          <w:rFonts w:eastAsia="Arial" w:cstheme="minorHAnsi"/>
          <w:b/>
          <w:i/>
          <w:color w:val="222222"/>
          <w:highlight w:val="white"/>
        </w:rPr>
        <w:t>lended</w:t>
      </w:r>
      <w:proofErr w:type="spellEnd"/>
      <w:r w:rsidR="00286110" w:rsidRPr="00B55485">
        <w:rPr>
          <w:rFonts w:eastAsia="Arial" w:cstheme="minorHAnsi"/>
          <w:b/>
          <w:i/>
          <w:color w:val="222222"/>
          <w:highlight w:val="white"/>
        </w:rPr>
        <w:t xml:space="preserve"> </w:t>
      </w:r>
      <w:proofErr w:type="spellStart"/>
      <w:r w:rsidRPr="00B55485">
        <w:rPr>
          <w:rFonts w:eastAsia="Arial" w:cstheme="minorHAnsi"/>
          <w:b/>
          <w:i/>
          <w:color w:val="222222"/>
          <w:highlight w:val="white"/>
        </w:rPr>
        <w:t>mobility</w:t>
      </w:r>
      <w:proofErr w:type="spellEnd"/>
      <w:r w:rsidRPr="00B55485">
        <w:rPr>
          <w:rFonts w:eastAsia="Arial" w:cstheme="minorHAnsi"/>
          <w:b/>
          <w:color w:val="222222"/>
          <w:highlight w:val="white"/>
        </w:rPr>
        <w:t xml:space="preserve">:  </w:t>
      </w:r>
      <w:r w:rsidRPr="00B55485">
        <w:rPr>
          <w:rFonts w:eastAsia="Arial" w:cstheme="minorHAnsi"/>
          <w:color w:val="222222"/>
          <w:highlight w:val="white"/>
        </w:rPr>
        <w:t xml:space="preserve">Combina la movilidad física con la virtual. Los períodos de movilidad física (con </w:t>
      </w:r>
      <w:r w:rsidR="00286110" w:rsidRPr="00B55485">
        <w:rPr>
          <w:rFonts w:eastAsia="Arial" w:cstheme="minorHAnsi"/>
          <w:color w:val="222222"/>
          <w:highlight w:val="white"/>
        </w:rPr>
        <w:t>enseñanza</w:t>
      </w:r>
      <w:r w:rsidR="00286110">
        <w:rPr>
          <w:rFonts w:eastAsia="Arial" w:cstheme="minorHAnsi"/>
          <w:color w:val="222222"/>
          <w:highlight w:val="white"/>
        </w:rPr>
        <w:t>-</w:t>
      </w:r>
      <w:r w:rsidRPr="00B55485">
        <w:rPr>
          <w:rFonts w:eastAsia="Arial" w:cstheme="minorHAnsi"/>
          <w:color w:val="222222"/>
          <w:highlight w:val="white"/>
        </w:rPr>
        <w:t xml:space="preserve">aprendizaje presencial o semipresencial) suelen ser más breves y previos </w:t>
      </w:r>
      <w:r w:rsidRPr="00B55485">
        <w:rPr>
          <w:rFonts w:eastAsia="Arial" w:cstheme="minorHAnsi"/>
          <w:color w:val="222222"/>
          <w:highlight w:val="white"/>
        </w:rPr>
        <w:lastRenderedPageBreak/>
        <w:t>a los períodos de movilidad virtual, pero se pueden combinar diferentes modelos de alternancia.</w:t>
      </w:r>
    </w:p>
    <w:p w:rsidR="00BF3DD5" w:rsidRDefault="00BF3DD5" w:rsidP="00BF3DD5">
      <w:pPr>
        <w:ind w:left="1080"/>
        <w:jc w:val="both"/>
        <w:rPr>
          <w:rFonts w:eastAsia="Arial" w:cstheme="minorHAnsi"/>
          <w:color w:val="222222"/>
          <w:highlight w:val="white"/>
        </w:rPr>
      </w:pPr>
    </w:p>
    <w:p w:rsidR="00BF3DD5" w:rsidRPr="00BF3DD5" w:rsidRDefault="00BF3DD5" w:rsidP="00117E08">
      <w:pPr>
        <w:numPr>
          <w:ilvl w:val="0"/>
          <w:numId w:val="2"/>
        </w:numPr>
        <w:jc w:val="both"/>
        <w:rPr>
          <w:rFonts w:eastAsia="Arial" w:cstheme="minorHAnsi"/>
          <w:color w:val="222222"/>
          <w:highlight w:val="white"/>
        </w:rPr>
      </w:pPr>
      <w:r w:rsidRPr="00BF3DD5">
        <w:rPr>
          <w:rFonts w:eastAsia="Arial" w:cstheme="minorHAnsi"/>
          <w:color w:val="222222"/>
        </w:rPr>
        <w:t>Movilidad virtual: Movilidad en la que el estudiante o la estudiante no se desplaza físicamente en la universidad de destino y sigue las actividades de aprendizaje o realiza sus prácticas totalmente online desde el territorio nacional. En estos casos no es necesario contratar una póliza de seguros.</w:t>
      </w:r>
    </w:p>
    <w:p w:rsidR="00DD6D43" w:rsidRPr="00B55485" w:rsidRDefault="00DD6D43" w:rsidP="00DD6D43">
      <w:pPr>
        <w:ind w:left="1440"/>
        <w:jc w:val="both"/>
        <w:rPr>
          <w:rFonts w:eastAsia="Arial" w:cstheme="minorHAnsi"/>
          <w:b/>
          <w:color w:val="222222"/>
          <w:highlight w:val="white"/>
        </w:rPr>
      </w:pPr>
    </w:p>
    <w:p w:rsidR="00DD6D43" w:rsidRPr="00B55485" w:rsidRDefault="00DD6D43" w:rsidP="00DD6D43">
      <w:pPr>
        <w:jc w:val="both"/>
        <w:rPr>
          <w:rFonts w:eastAsia="Arial" w:cstheme="minorHAnsi"/>
          <w:color w:val="222222"/>
          <w:highlight w:val="white"/>
        </w:rPr>
      </w:pPr>
      <w:r w:rsidRPr="00B55485">
        <w:rPr>
          <w:rFonts w:eastAsia="Arial" w:cstheme="minorHAnsi"/>
          <w:color w:val="222222"/>
          <w:highlight w:val="white"/>
        </w:rPr>
        <w:t xml:space="preserve">Junto con estas </w:t>
      </w:r>
      <w:r w:rsidR="00BF3DD5">
        <w:rPr>
          <w:rFonts w:eastAsia="Arial" w:cstheme="minorHAnsi"/>
          <w:color w:val="222222"/>
          <w:highlight w:val="white"/>
        </w:rPr>
        <w:t>tre</w:t>
      </w:r>
      <w:r>
        <w:rPr>
          <w:rFonts w:eastAsia="Arial" w:cstheme="minorHAnsi"/>
          <w:color w:val="222222"/>
          <w:highlight w:val="white"/>
        </w:rPr>
        <w:t>s</w:t>
      </w:r>
      <w:r w:rsidRPr="00B55485">
        <w:rPr>
          <w:rFonts w:eastAsia="Arial" w:cstheme="minorHAnsi"/>
          <w:color w:val="222222"/>
          <w:highlight w:val="white"/>
        </w:rPr>
        <w:t xml:space="preserve"> modalidades de </w:t>
      </w:r>
      <w:r w:rsidR="00286110">
        <w:rPr>
          <w:rFonts w:eastAsia="Arial" w:cstheme="minorHAnsi"/>
          <w:color w:val="222222"/>
          <w:highlight w:val="white"/>
        </w:rPr>
        <w:t>m</w:t>
      </w:r>
      <w:r w:rsidR="00286110" w:rsidRPr="00B55485">
        <w:rPr>
          <w:rFonts w:eastAsia="Arial" w:cstheme="minorHAnsi"/>
          <w:color w:val="222222"/>
          <w:highlight w:val="white"/>
        </w:rPr>
        <w:t xml:space="preserve">ovilidad </w:t>
      </w:r>
      <w:r w:rsidR="00286110">
        <w:rPr>
          <w:rFonts w:eastAsia="Arial" w:cstheme="minorHAnsi"/>
          <w:color w:val="222222"/>
          <w:highlight w:val="white"/>
        </w:rPr>
        <w:t>i</w:t>
      </w:r>
      <w:r w:rsidRPr="00B55485">
        <w:rPr>
          <w:rFonts w:eastAsia="Arial" w:cstheme="minorHAnsi"/>
          <w:color w:val="222222"/>
          <w:highlight w:val="white"/>
        </w:rPr>
        <w:t xml:space="preserve">nternacional utilizaremos el concepto de </w:t>
      </w:r>
      <w:proofErr w:type="spellStart"/>
      <w:r w:rsidRPr="00B55485">
        <w:rPr>
          <w:rFonts w:eastAsia="Arial" w:cstheme="minorHAnsi"/>
          <w:i/>
          <w:color w:val="222222"/>
          <w:highlight w:val="white"/>
        </w:rPr>
        <w:t>blended</w:t>
      </w:r>
      <w:proofErr w:type="spellEnd"/>
      <w:r w:rsidRPr="00B55485">
        <w:rPr>
          <w:rFonts w:eastAsia="Arial" w:cstheme="minorHAnsi"/>
          <w:i/>
          <w:color w:val="222222"/>
          <w:highlight w:val="white"/>
        </w:rPr>
        <w:t xml:space="preserve"> </w:t>
      </w:r>
      <w:proofErr w:type="spellStart"/>
      <w:r w:rsidRPr="00B55485">
        <w:rPr>
          <w:rFonts w:eastAsia="Arial" w:cstheme="minorHAnsi"/>
          <w:i/>
          <w:color w:val="222222"/>
          <w:highlight w:val="white"/>
        </w:rPr>
        <w:t>learning</w:t>
      </w:r>
      <w:proofErr w:type="spellEnd"/>
      <w:r w:rsidR="00286110">
        <w:rPr>
          <w:rFonts w:eastAsia="Arial" w:cstheme="minorHAnsi"/>
          <w:color w:val="222222"/>
          <w:highlight w:val="white"/>
        </w:rPr>
        <w:t xml:space="preserve">, </w:t>
      </w:r>
      <w:r w:rsidRPr="00B55485">
        <w:rPr>
          <w:rFonts w:eastAsia="Arial" w:cstheme="minorHAnsi"/>
          <w:color w:val="222222"/>
          <w:highlight w:val="white"/>
        </w:rPr>
        <w:t>que</w:t>
      </w:r>
      <w:r w:rsidR="00286110">
        <w:rPr>
          <w:rFonts w:eastAsia="Arial" w:cstheme="minorHAnsi"/>
          <w:color w:val="222222"/>
          <w:highlight w:val="white"/>
        </w:rPr>
        <w:t xml:space="preserve"> no</w:t>
      </w:r>
      <w:r w:rsidRPr="00B55485">
        <w:rPr>
          <w:rFonts w:eastAsia="Arial" w:cstheme="minorHAnsi"/>
          <w:color w:val="222222"/>
          <w:highlight w:val="white"/>
        </w:rPr>
        <w:t xml:space="preserve"> se corresponde con un tipo de movilidad, sino </w:t>
      </w:r>
      <w:r w:rsidR="00286110">
        <w:rPr>
          <w:rFonts w:eastAsia="Arial" w:cstheme="minorHAnsi"/>
          <w:color w:val="222222"/>
          <w:highlight w:val="white"/>
        </w:rPr>
        <w:t xml:space="preserve">con un tipo </w:t>
      </w:r>
      <w:r w:rsidRPr="00B55485">
        <w:rPr>
          <w:rFonts w:eastAsia="Arial" w:cstheme="minorHAnsi"/>
          <w:color w:val="222222"/>
          <w:highlight w:val="white"/>
        </w:rPr>
        <w:t>de modalidad de enseñanza-aprendizaje:</w:t>
      </w:r>
    </w:p>
    <w:p w:rsidR="00DD6D43" w:rsidRPr="00B55485" w:rsidRDefault="00DD6D43" w:rsidP="00DD6D43">
      <w:pPr>
        <w:ind w:left="1428"/>
        <w:jc w:val="both"/>
        <w:rPr>
          <w:rFonts w:eastAsia="Arial" w:cstheme="minorHAnsi"/>
          <w:color w:val="222222"/>
          <w:highlight w:val="white"/>
        </w:rPr>
      </w:pPr>
    </w:p>
    <w:p w:rsidR="00DD6D43" w:rsidRPr="00B55485" w:rsidRDefault="00DD6D43" w:rsidP="00DD6D43">
      <w:pPr>
        <w:ind w:left="1428"/>
        <w:jc w:val="both"/>
        <w:rPr>
          <w:rFonts w:eastAsia="Arial" w:cstheme="minorHAnsi"/>
          <w:color w:val="222222"/>
          <w:highlight w:val="white"/>
        </w:rPr>
      </w:pPr>
      <w:proofErr w:type="spellStart"/>
      <w:r w:rsidRPr="00B55485">
        <w:rPr>
          <w:rFonts w:eastAsia="Arial" w:cstheme="minorHAnsi"/>
          <w:b/>
          <w:i/>
          <w:color w:val="222222"/>
          <w:highlight w:val="white"/>
        </w:rPr>
        <w:t>Blended</w:t>
      </w:r>
      <w:proofErr w:type="spellEnd"/>
      <w:r w:rsidRPr="00B55485">
        <w:rPr>
          <w:rFonts w:eastAsia="Arial" w:cstheme="minorHAnsi"/>
          <w:b/>
          <w:i/>
          <w:color w:val="222222"/>
          <w:highlight w:val="white"/>
        </w:rPr>
        <w:t xml:space="preserve"> </w:t>
      </w:r>
      <w:proofErr w:type="spellStart"/>
      <w:r w:rsidRPr="00B55485">
        <w:rPr>
          <w:rFonts w:eastAsia="Arial" w:cstheme="minorHAnsi"/>
          <w:b/>
          <w:i/>
          <w:color w:val="222222"/>
          <w:highlight w:val="white"/>
        </w:rPr>
        <w:t>learning</w:t>
      </w:r>
      <w:proofErr w:type="spellEnd"/>
      <w:r w:rsidRPr="00B55485">
        <w:rPr>
          <w:rFonts w:eastAsia="Arial" w:cstheme="minorHAnsi"/>
          <w:b/>
          <w:i/>
          <w:color w:val="222222"/>
          <w:highlight w:val="white"/>
        </w:rPr>
        <w:t xml:space="preserve"> </w:t>
      </w:r>
      <w:r w:rsidRPr="00B55485">
        <w:rPr>
          <w:rFonts w:eastAsia="Arial" w:cstheme="minorHAnsi"/>
          <w:b/>
          <w:color w:val="222222"/>
          <w:highlight w:val="white"/>
        </w:rPr>
        <w:t xml:space="preserve">o </w:t>
      </w:r>
      <w:r w:rsidR="00286110">
        <w:rPr>
          <w:rFonts w:eastAsia="Arial" w:cstheme="minorHAnsi"/>
          <w:b/>
          <w:color w:val="222222"/>
          <w:highlight w:val="white"/>
        </w:rPr>
        <w:t>a</w:t>
      </w:r>
      <w:r w:rsidR="00286110" w:rsidRPr="00B55485">
        <w:rPr>
          <w:rFonts w:eastAsia="Arial" w:cstheme="minorHAnsi"/>
          <w:b/>
          <w:color w:val="222222"/>
          <w:highlight w:val="white"/>
        </w:rPr>
        <w:t xml:space="preserve">prendizaje </w:t>
      </w:r>
      <w:r w:rsidRPr="00B55485">
        <w:rPr>
          <w:rFonts w:eastAsia="Arial" w:cstheme="minorHAnsi"/>
          <w:b/>
          <w:color w:val="222222"/>
          <w:highlight w:val="white"/>
        </w:rPr>
        <w:t>combinado:</w:t>
      </w:r>
      <w:r w:rsidRPr="00B55485">
        <w:rPr>
          <w:rFonts w:eastAsia="Arial" w:cstheme="minorHAnsi"/>
          <w:color w:val="222222"/>
          <w:highlight w:val="white"/>
        </w:rPr>
        <w:t xml:space="preserve"> Se corresponde con aquel formato </w:t>
      </w:r>
      <w:r w:rsidR="00FC274B">
        <w:rPr>
          <w:rFonts w:eastAsia="Arial" w:cstheme="minorHAnsi"/>
          <w:color w:val="222222"/>
          <w:highlight w:val="white"/>
        </w:rPr>
        <w:t>mencionado</w:t>
      </w:r>
      <w:r w:rsidR="00FC274B" w:rsidRPr="00B55485">
        <w:rPr>
          <w:rFonts w:eastAsia="Arial" w:cstheme="minorHAnsi"/>
          <w:color w:val="222222"/>
          <w:highlight w:val="white"/>
        </w:rPr>
        <w:t xml:space="preserve"> </w:t>
      </w:r>
      <w:r w:rsidRPr="00B55485">
        <w:rPr>
          <w:rFonts w:eastAsia="Arial" w:cstheme="minorHAnsi"/>
          <w:color w:val="222222"/>
          <w:highlight w:val="white"/>
        </w:rPr>
        <w:t xml:space="preserve">anteriormente de enseñanza-aprendizaje en el que se combinan medios presenciales y no presenciales (síncronos y asíncronos). Combinan por tanto medios y materiales educativos </w:t>
      </w:r>
      <w:r w:rsidR="00FC274B">
        <w:rPr>
          <w:rFonts w:eastAsia="Arial" w:cstheme="minorHAnsi"/>
          <w:color w:val="222222"/>
          <w:highlight w:val="white"/>
        </w:rPr>
        <w:t>en línea</w:t>
      </w:r>
      <w:r w:rsidR="00FC274B" w:rsidRPr="00B55485">
        <w:rPr>
          <w:rFonts w:eastAsia="Arial" w:cstheme="minorHAnsi"/>
          <w:color w:val="222222"/>
          <w:highlight w:val="white"/>
        </w:rPr>
        <w:t xml:space="preserve"> </w:t>
      </w:r>
      <w:r w:rsidRPr="00B55485">
        <w:rPr>
          <w:rFonts w:eastAsia="Arial" w:cstheme="minorHAnsi"/>
          <w:color w:val="222222"/>
          <w:highlight w:val="white"/>
        </w:rPr>
        <w:t>con métodos tradicionales de interacción presencial en el aula (laboratorio, talleres, etc.).</w:t>
      </w:r>
    </w:p>
    <w:p w:rsidR="00DD6D43" w:rsidRPr="00B55485" w:rsidRDefault="00DD6D43" w:rsidP="00DD6D43">
      <w:pPr>
        <w:spacing w:line="276" w:lineRule="auto"/>
        <w:ind w:left="1440"/>
        <w:jc w:val="both"/>
        <w:rPr>
          <w:rFonts w:eastAsia="Arial" w:cstheme="minorHAnsi"/>
          <w:color w:val="222222"/>
          <w:highlight w:val="white"/>
        </w:rPr>
      </w:pPr>
    </w:p>
    <w:p w:rsidR="00F2059D" w:rsidRDefault="00F2059D"/>
    <w:p w:rsidR="0072290A" w:rsidRDefault="0072290A"/>
    <w:p w:rsidR="0072290A" w:rsidRDefault="0072290A"/>
    <w:p w:rsidR="0072290A" w:rsidRDefault="0072290A"/>
    <w:p w:rsidR="0072290A" w:rsidRDefault="002D0AB6" w:rsidP="008A7A9D">
      <w:pPr>
        <w:spacing w:before="120" w:after="120"/>
      </w:pPr>
      <w:r>
        <w:t>Apellidos y nombre:</w:t>
      </w:r>
    </w:p>
    <w:p w:rsidR="0072290A" w:rsidRDefault="00BF3DD5" w:rsidP="008A7A9D">
      <w:pPr>
        <w:spacing w:before="120" w:after="120"/>
      </w:pPr>
      <w:r>
        <w:t>NIF</w:t>
      </w:r>
      <w:r w:rsidR="002D0AB6">
        <w:t>/NIE:</w:t>
      </w:r>
    </w:p>
    <w:p w:rsidR="00BF3DD5" w:rsidRDefault="00BF3DD5" w:rsidP="00AB4195">
      <w:pPr>
        <w:spacing w:before="240" w:after="120"/>
      </w:pPr>
      <w:r>
        <w:t>Tipo de movilidad</w:t>
      </w:r>
      <w:r w:rsidR="00AB4195">
        <w:t>: Outgoing</w:t>
      </w:r>
    </w:p>
    <w:p w:rsidR="00BF3DD5" w:rsidRDefault="00036AC3" w:rsidP="008A7A9D">
      <w:pPr>
        <w:spacing w:before="120" w:after="120"/>
      </w:pPr>
      <w:r>
        <w:t>Programa de movilidad:</w:t>
      </w:r>
    </w:p>
    <w:p w:rsidR="00036AC3" w:rsidRDefault="00036AC3" w:rsidP="008A7A9D">
      <w:pPr>
        <w:spacing w:before="120" w:after="120"/>
      </w:pPr>
      <w:r>
        <w:t>Institución</w:t>
      </w:r>
      <w:r w:rsidR="00AB4195">
        <w:t>/Empresa</w:t>
      </w:r>
      <w:bookmarkStart w:id="0" w:name="_GoBack"/>
      <w:bookmarkEnd w:id="0"/>
      <w:r>
        <w:t xml:space="preserve"> de destino:</w:t>
      </w:r>
    </w:p>
    <w:p w:rsidR="00BF3DD5" w:rsidRDefault="00BF3DD5"/>
    <w:p w:rsidR="00BF3DD5" w:rsidRDefault="00BF3DD5">
      <w:r>
        <w:t>Firma del estudiante:</w:t>
      </w:r>
    </w:p>
    <w:p w:rsidR="00BF3DD5" w:rsidRDefault="00BF3DD5"/>
    <w:p w:rsidR="00BF3DD5" w:rsidRDefault="00BF3DD5"/>
    <w:p w:rsidR="00BF3DD5" w:rsidRDefault="00BF3DD5"/>
    <w:p w:rsidR="00BF3DD5" w:rsidRDefault="00BF3DD5"/>
    <w:p w:rsidR="002D0AB6" w:rsidRDefault="002D0AB6"/>
    <w:p w:rsidR="002D0AB6" w:rsidRDefault="002D0AB6">
      <w:r>
        <w:t xml:space="preserve">Lugar y fecha: </w:t>
      </w:r>
    </w:p>
    <w:p w:rsidR="002D0AB6" w:rsidRDefault="002D0AB6"/>
    <w:sectPr w:rsidR="002D0AB6" w:rsidSect="00344389">
      <w:headerReference w:type="default" r:id="rId8"/>
      <w:footerReference w:type="default" r:id="rId9"/>
      <w:pgSz w:w="11906" w:h="16838"/>
      <w:pgMar w:top="254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89" w:rsidRDefault="00344389" w:rsidP="00344389">
      <w:r>
        <w:separator/>
      </w:r>
    </w:p>
  </w:endnote>
  <w:endnote w:type="continuationSeparator" w:id="0">
    <w:p w:rsidR="00344389" w:rsidRDefault="00344389" w:rsidP="0034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89" w:rsidRPr="00344389" w:rsidRDefault="00344389" w:rsidP="00344389">
    <w:pPr>
      <w:pStyle w:val="Peu"/>
      <w:pBdr>
        <w:top w:val="single" w:sz="4" w:space="1" w:color="auto"/>
      </w:pBdr>
      <w:rPr>
        <w:color w:val="000000" w:themeColor="text1"/>
        <w:lang w:val="ca-ES"/>
      </w:rPr>
    </w:pPr>
    <w:r w:rsidRPr="00344389">
      <w:rPr>
        <w:color w:val="000000" w:themeColor="text1"/>
        <w:lang w:val="ca-ES"/>
      </w:rPr>
      <w:t xml:space="preserve">Universitat Politècnica de Catalunya. </w:t>
    </w:r>
    <w:proofErr w:type="spellStart"/>
    <w:r w:rsidR="00BF3DD5">
      <w:rPr>
        <w:color w:val="000000" w:themeColor="text1"/>
        <w:lang w:val="ca-ES"/>
      </w:rPr>
      <w:t>Enero</w:t>
    </w:r>
    <w:proofErr w:type="spellEnd"/>
    <w:r w:rsidR="00BF3DD5">
      <w:rPr>
        <w:color w:val="000000" w:themeColor="text1"/>
        <w:lang w:val="ca-E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89" w:rsidRDefault="00344389" w:rsidP="00344389">
      <w:r>
        <w:separator/>
      </w:r>
    </w:p>
  </w:footnote>
  <w:footnote w:type="continuationSeparator" w:id="0">
    <w:p w:rsidR="00344389" w:rsidRDefault="00344389" w:rsidP="0034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89" w:rsidRDefault="00344389">
    <w:pPr>
      <w:pStyle w:val="Capalera"/>
    </w:pPr>
    <w:r>
      <w:rPr>
        <w:noProof/>
        <w:lang w:val="ca-ES" w:eastAsia="ca-ES"/>
      </w:rPr>
      <w:drawing>
        <wp:inline distT="0" distB="0" distL="0" distR="0">
          <wp:extent cx="2933582" cy="616226"/>
          <wp:effectExtent l="0" t="0" r="63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celon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283" cy="635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983"/>
    <w:multiLevelType w:val="hybridMultilevel"/>
    <w:tmpl w:val="82821C26"/>
    <w:lvl w:ilvl="0" w:tplc="FFCA9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0147"/>
    <w:multiLevelType w:val="multilevel"/>
    <w:tmpl w:val="393C089A"/>
    <w:lvl w:ilvl="0">
      <w:start w:val="1"/>
      <w:numFmt w:val="lowerLetter"/>
      <w:lvlText w:val="%1)"/>
      <w:lvlJc w:val="left"/>
      <w:pPr>
        <w:ind w:left="142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4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6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58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0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2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4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6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188" w:hanging="360"/>
      </w:pPr>
      <w:rPr>
        <w:u w:val="none"/>
      </w:rPr>
    </w:lvl>
  </w:abstractNum>
  <w:abstractNum w:abstractNumId="2" w15:restartNumberingAfterBreak="0">
    <w:nsid w:val="63D108EE"/>
    <w:multiLevelType w:val="hybridMultilevel"/>
    <w:tmpl w:val="EC3692B0"/>
    <w:lvl w:ilvl="0" w:tplc="98AEC60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43"/>
    <w:rsid w:val="00002EDB"/>
    <w:rsid w:val="00036AC3"/>
    <w:rsid w:val="00286110"/>
    <w:rsid w:val="002D0AB6"/>
    <w:rsid w:val="00344389"/>
    <w:rsid w:val="00424059"/>
    <w:rsid w:val="00546237"/>
    <w:rsid w:val="005B76F2"/>
    <w:rsid w:val="0064187A"/>
    <w:rsid w:val="0072290A"/>
    <w:rsid w:val="00844107"/>
    <w:rsid w:val="008A7A9D"/>
    <w:rsid w:val="009439A6"/>
    <w:rsid w:val="00AB0868"/>
    <w:rsid w:val="00AB4195"/>
    <w:rsid w:val="00BF3DD5"/>
    <w:rsid w:val="00D8232D"/>
    <w:rsid w:val="00DD6D43"/>
    <w:rsid w:val="00F0686D"/>
    <w:rsid w:val="00F2059D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0D8878"/>
  <w15:chartTrackingRefBased/>
  <w15:docId w15:val="{7E8F336A-4968-4619-9049-9B8D7A66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3"/>
    <w:pPr>
      <w:spacing w:after="0" w:line="240" w:lineRule="auto"/>
    </w:pPr>
    <w:rPr>
      <w:sz w:val="24"/>
      <w:szCs w:val="24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D6D43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424059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24059"/>
    <w:rPr>
      <w:rFonts w:ascii="Segoe UI" w:hAnsi="Segoe UI" w:cs="Segoe UI"/>
      <w:sz w:val="18"/>
      <w:szCs w:val="18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344389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44389"/>
    <w:rPr>
      <w:sz w:val="24"/>
      <w:szCs w:val="24"/>
      <w:lang w:val="es-ES"/>
    </w:rPr>
  </w:style>
  <w:style w:type="paragraph" w:styleId="Peu">
    <w:name w:val="footer"/>
    <w:basedOn w:val="Normal"/>
    <w:link w:val="PeuCar"/>
    <w:uiPriority w:val="99"/>
    <w:unhideWhenUsed/>
    <w:rsid w:val="00344389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44389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1BF89-CBC2-4773-B4AC-646F9EDA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UPC</cp:lastModifiedBy>
  <cp:revision>5</cp:revision>
  <dcterms:created xsi:type="dcterms:W3CDTF">2021-01-19T08:44:00Z</dcterms:created>
  <dcterms:modified xsi:type="dcterms:W3CDTF">2021-01-20T07:01:00Z</dcterms:modified>
</cp:coreProperties>
</file>